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70" w:before="0"/>
      </w:pPr>
      <w:r>
        <w:rPr>
          <w:rFonts w:ascii="Georgia" w:cs="Georgia" w:eastAsia="Georgia" w:hAnsi="Georgia"/>
          <w:b/>
          <w:bCs/>
          <w:color w:val="A65A22"/>
          <w:spacing w:val="64"/>
          <w:sz w:val="18"/>
          <w:szCs w:val="18"/>
        </w:rPr>
        <w:t xml:space="preserve">THE LEGACY IMPACT STUDIO</w:t>
      </w:r>
    </w:p>
    <w:p>
      <w:pPr>
        <w:spacing w:after="60" w:before="0"/>
      </w:pPr>
      <w:r>
        <w:rPr>
          <w:rFonts w:ascii="Georgia" w:cs="Georgia" w:eastAsia="Georgia" w:hAnsi="Georgia"/>
          <w:b/>
          <w:bCs/>
          <w:color w:val="0F4640"/>
          <w:sz w:val="52"/>
          <w:szCs w:val="52"/>
        </w:rPr>
        <w:t xml:space="preserve">Nicole Lockwood</w:t>
      </w:r>
    </w:p>
    <w:p>
      <w:pPr>
        <w:spacing w:after="40" w:before="0"/>
      </w:pPr>
      <w:r>
        <w:rPr>
          <w:rFonts w:ascii="Georgia" w:cs="Georgia" w:eastAsia="Georgia" w:hAnsi="Georgia"/>
          <w:i/>
          <w:iCs/>
          <w:color w:val="9A4A2C"/>
          <w:sz w:val="28"/>
          <w:szCs w:val="28"/>
        </w:rPr>
        <w:t xml:space="preserve">The Throughline · Where the Message and the Plan Meet</w:t>
      </w:r>
    </w:p>
    <w:p>
      <w:pPr>
        <w:spacing w:after="40" w:before="0"/>
      </w:pPr>
      <w:r>
        <w:rPr>
          <w:rFonts w:ascii="Georgia" w:cs="Georgia" w:eastAsia="Georgia" w:hAnsi="Georgia"/>
          <w:color w:val="877B6C"/>
          <w:sz w:val="19"/>
          <w:szCs w:val="19"/>
        </w:rPr>
        <w:t xml:space="preserve">The one page to hold it all · June 2026</w:t>
      </w:r>
    </w:p>
    <w:p>
      <w:pPr>
        <w:pBdr>
          <w:bottom w:val="single" w:color="D9CDBA" w:sz="4" w:space="8"/>
        </w:pBdr>
        <w:spacing w:after="0" w:before="120"/>
      </w:pPr>
    </w:p>
    <w:p>
      <w:pPr>
        <w:spacing w:after="160"/>
      </w:pPr>
    </w:p>
    <w:p>
      <w:pPr>
        <w:spacing w:after="70" w:before="0"/>
      </w:pPr>
      <w:r>
        <w:rPr>
          <w:rFonts w:ascii="Georgia" w:cs="Georgia" w:eastAsia="Georgia" w:hAnsi="Georgia"/>
          <w:b/>
          <w:bCs/>
          <w:color w:val="0F4640"/>
          <w:spacing w:val="64"/>
          <w:sz w:val="18"/>
          <w:szCs w:val="18"/>
        </w:rPr>
        <w:t xml:space="preserve">HOW TO READ THIS</w:t>
      </w:r>
    </w:p>
    <w:p>
      <w:pPr>
        <w:spacing w:after="170" w:before="0" w:line="312" w:lineRule="auto"/>
      </w:pPr>
      <w:r>
        <w:rPr>
          <w:rFonts w:ascii="Georgia" w:cs="Georgia" w:eastAsia="Georgia" w:hAnsi="Georgia"/>
          <w:color w:val="2B2622"/>
          <w:sz w:val="23"/>
          <w:szCs w:val="23"/>
        </w:rPr>
        <w:t xml:space="preserve">The Foundation holds the message. The Plan holds the route. This piece holds the thread that runs through both, in language warm enough to read aloud. It is the mirror: the one to share with Nicole.</w:t>
      </w:r>
    </w:p>
    <w:p>
      <w:r>
        <w:br w:type="page"/>
      </w:r>
    </w:p>
    <w:p>
      <w:pPr>
        <w:spacing w:after="70" w:before="0"/>
      </w:pPr>
      <w:r>
        <w:rPr>
          <w:rFonts w:ascii="Georgia" w:cs="Georgia" w:eastAsia="Georgia" w:hAnsi="Georgia"/>
          <w:b/>
          <w:bCs/>
          <w:color w:val="A65A22"/>
          <w:spacing w:val="64"/>
          <w:sz w:val="18"/>
          <w:szCs w:val="18"/>
        </w:rPr>
        <w:t xml:space="preserve">THE REFLECTION</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What You Have Become</w:t>
      </w:r>
    </w:p>
    <w:p>
      <w:pPr>
        <w:spacing w:after="180" w:before="0" w:line="330" w:lineRule="auto"/>
      </w:pPr>
      <w:r>
        <w:rPr>
          <w:rFonts w:ascii="Georgia" w:cs="Georgia" w:eastAsia="Georgia" w:hAnsi="Georgia"/>
          <w:color w:val="2B2622"/>
          <w:sz w:val="25"/>
          <w:szCs w:val="25"/>
        </w:rPr>
        <w:t xml:space="preserve">For twenty years you have been the person other people called when the room was stuck and no one could say why. You believed the gift was the strategy. It was never only the strategy.</w:t>
      </w:r>
    </w:p>
    <w:p>
      <w:pPr>
        <w:spacing w:after="180" w:before="0" w:line="330" w:lineRule="auto"/>
      </w:pPr>
      <w:r>
        <w:rPr>
          <w:rFonts w:ascii="Georgia" w:cs="Georgia" w:eastAsia="Georgia" w:hAnsi="Georgia"/>
          <w:color w:val="2B2622"/>
          <w:sz w:val="25"/>
          <w:szCs w:val="25"/>
        </w:rPr>
        <w:t xml:space="preserve">It was that you could feel what a room would not name, and you were willing to stay in the discomfort until the truth could be said and something could move. You have done this so many times, in so many rooms, that it stopped looking like a skill and started looking like who you are.</w:t>
      </w:r>
    </w:p>
    <w:p>
      <w:pPr>
        <w:spacing w:after="180" w:before="0" w:line="330" w:lineRule="auto"/>
      </w:pPr>
      <w:r>
        <w:rPr>
          <w:rFonts w:ascii="Georgia" w:cs="Georgia" w:eastAsia="Georgia" w:hAnsi="Georgia"/>
          <w:color w:val="2B2622"/>
          <w:sz w:val="25"/>
          <w:szCs w:val="25"/>
        </w:rPr>
        <w:t xml:space="preserve">This is not a new story we are telling about you. It is the one that was always true, finally said plainly.</w:t>
      </w:r>
    </w:p>
    <w:p>
      <w:pPr>
        <w:pBdr>
          <w:top w:val="single" w:color="A65A22" w:sz="4" w:space="10"/>
          <w:bottom w:val="single" w:color="A65A22" w:sz="4" w:space="10"/>
        </w:pBdr>
        <w:spacing w:after="220" w:before="200"/>
        <w:jc w:val="center"/>
      </w:pPr>
      <w:r>
        <w:rPr>
          <w:rFonts w:ascii="Georgia" w:cs="Georgia" w:eastAsia="Georgia" w:hAnsi="Georgia"/>
          <w:b/>
          <w:bCs/>
          <w:i/>
          <w:iCs/>
          <w:color w:val="0F4640"/>
          <w:sz w:val="32"/>
          <w:szCs w:val="32"/>
        </w:rPr>
        <w:t xml:space="preserve">She keeps the threshold. Change crosses when it is ready.</w:t>
      </w:r>
    </w:p>
    <w:p>
      <w:r>
        <w:br w:type="page"/>
      </w:r>
    </w:p>
    <w:p>
      <w:pPr>
        <w:spacing w:after="70" w:before="0"/>
      </w:pPr>
      <w:r>
        <w:rPr>
          <w:rFonts w:ascii="Georgia" w:cs="Georgia" w:eastAsia="Georgia" w:hAnsi="Georgia"/>
          <w:b/>
          <w:bCs/>
          <w:color w:val="A65A22"/>
          <w:spacing w:val="64"/>
          <w:sz w:val="18"/>
          <w:szCs w:val="18"/>
        </w:rPr>
        <w:t xml:space="preserve">THE PORTABLE VERSION</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Nicole, in One Paragraph</w:t>
      </w:r>
    </w:p>
    <w:p>
      <w:pPr>
        <w:spacing w:after="170" w:before="0" w:line="312" w:lineRule="auto"/>
      </w:pPr>
      <w:r>
        <w:rPr>
          <w:rFonts w:ascii="Georgia" w:cs="Georgia" w:eastAsia="Georgia" w:hAnsi="Georgia"/>
          <w:color w:val="2B2622"/>
          <w:sz w:val="23"/>
          <w:szCs w:val="23"/>
        </w:rPr>
        <w:t xml:space="preserve">When she needs to be introduced, or to introduce herself, this is the statement underneath the job title. It is the source copy for her bio, her website, and the way a host should bring her to a stage.</w:t>
      </w:r>
    </w:p>
    <w:p>
      <w:pPr>
        <w:pBdr>
          <w:left w:val="single" w:color="0F4640" w:sz="24" w:space="16"/>
        </w:pBdr>
        <w:shd w:fill="F4EEE3" w:color="auto" w:val="clear"/>
        <w:spacing w:after="220" w:before="80" w:line="330" w:lineRule="auto"/>
        <w:ind w:left="340" w:right="280"/>
      </w:pPr>
      <w:r>
        <w:rPr>
          <w:rFonts w:ascii="Georgia" w:cs="Georgia" w:eastAsia="Georgia" w:hAnsi="Georgia"/>
          <w:b/>
          <w:bCs/>
          <w:color w:val="0F4640"/>
          <w:sz w:val="24"/>
          <w:szCs w:val="24"/>
        </w:rPr>
        <w:t xml:space="preserve">Nicole Lockwood is a Systems Transition Broker. </w:t>
      </w:r>
      <w:r>
        <w:rPr>
          <w:rFonts w:ascii="Georgia" w:cs="Georgia" w:eastAsia="Georgia" w:hAnsi="Georgia"/>
          <w:color w:val="2B2622"/>
          <w:sz w:val="24"/>
          <w:szCs w:val="24"/>
        </w:rPr>
        <w:t xml:space="preserve">For more than twenty years, across infrastructure, governance and climate reform, she has done one thing: walked into rooms of capable people who could feel that something was off, named it, and stayed long enough to compose the conditions where they stopped defending positions and started moving together. Her premise is that the systems holding the planet are not broken. They are working exactly as they were built to, and they will only change the way people change: one at a time, and then all at once. She calls the work The Threshold, and its first discipline is readiness before access. Her record, Western Australia’s first twenty-year infrastructure strategy, Australia’s first cross-sector net zero collaboration, the first federal review of Infrastructure Australia, is not a list of unrelated firsts. It is the evidence of a single pattern, now ready to be taught, and to be trusted with bigger rooms.</w:t>
      </w:r>
    </w:p>
    <w:p>
      <w:pPr>
        <w:pBdr>
          <w:left w:val="single" w:color="A65A22" w:sz="18" w:space="14"/>
        </w:pBdr>
        <w:shd w:fill="F4EEE3" w:color="auto" w:val="clear"/>
        <w:spacing w:after="90" w:before="60" w:line="300" w:lineRule="auto"/>
        <w:ind w:left="240" w:right="240"/>
      </w:pPr>
      <w:r>
        <w:rPr>
          <w:rFonts w:ascii="Georgia" w:cs="Georgia" w:eastAsia="Georgia" w:hAnsi="Georgia"/>
          <w:b/>
          <w:bCs/>
          <w:color w:val="A65A22"/>
          <w:spacing w:val="50"/>
          <w:sz w:val="16"/>
          <w:szCs w:val="16"/>
        </w:rPr>
        <w:t xml:space="preserve">WORKING MARGIN · FOR SCARLET</w:t>
      </w:r>
    </w:p>
    <w:p>
      <w:pPr>
        <w:pBdr>
          <w:left w:val="single" w:color="A65A22" w:sz="18" w:space="14"/>
        </w:pBdr>
        <w:shd w:fill="F4EEE3" w:color="auto" w:val="clear"/>
        <w:spacing w:after="200" w:before="0" w:line="300" w:lineRule="auto"/>
        <w:ind w:left="240" w:right="240"/>
      </w:pPr>
      <w:r>
        <w:rPr>
          <w:rFonts w:ascii="Georgia" w:cs="Georgia" w:eastAsia="Georgia" w:hAnsi="Georgia"/>
          <w:color w:val="5B5246"/>
          <w:sz w:val="21"/>
          <w:szCs w:val="21"/>
        </w:rPr>
        <w:t xml:space="preserve">This paragraph is the reusable asset. Lift sentences from it for the LinkedIn About, the website hero, the speaker bio, and event introductions. Keep the wording consistent so it compounds.</w:t>
      </w:r>
    </w:p>
    <w:p>
      <w:pPr>
        <w:spacing w:after="70" w:before="0"/>
      </w:pPr>
      <w:r>
        <w:rPr>
          <w:rFonts w:ascii="Georgia" w:cs="Georgia" w:eastAsia="Georgia" w:hAnsi="Georgia"/>
          <w:b/>
          <w:bCs/>
          <w:color w:val="A65A22"/>
          <w:spacing w:val="64"/>
          <w:sz w:val="18"/>
          <w:szCs w:val="18"/>
        </w:rPr>
        <w:t xml:space="preserve">THE REFRAME</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Portfolio Is the Proof</w:t>
      </w:r>
    </w:p>
    <w:p>
      <w:pPr>
        <w:spacing w:after="170" w:before="0" w:line="312" w:lineRule="auto"/>
      </w:pPr>
      <w:r>
        <w:rPr>
          <w:rFonts w:ascii="Georgia" w:cs="Georgia" w:eastAsia="Georgia" w:hAnsi="Georgia"/>
          <w:color w:val="2B2622"/>
          <w:sz w:val="23"/>
          <w:szCs w:val="23"/>
        </w:rPr>
        <w:t xml:space="preserve">The tension was real: she loves the breadth, the being-networked-to-everyone, the doing of many things, and legacy asks to be known for one thing. The resolution is not to cut the portfolio. It is to turn it the right way up.</w:t>
      </w:r>
    </w:p>
    <w:p>
      <w:pPr>
        <w:spacing w:after="170" w:before="0" w:line="312" w:lineRule="auto"/>
      </w:pPr>
      <w:r>
        <w:rPr>
          <w:rFonts w:ascii="Georgia" w:cs="Georgia" w:eastAsia="Georgia" w:hAnsi="Georgia"/>
          <w:color w:val="2B2622"/>
          <w:sz w:val="23"/>
          <w:szCs w:val="23"/>
        </w:rPr>
        <w:t xml:space="preserve">Twenty years of doing all of it is exactly what earns the authority to claim the one thing. She is not narrowing herself. She is revealing the spine that was always underneath the variety. The breadth becomes the evidence, and the pattern becomes the identity.</w:t>
      </w:r>
    </w:p>
    <w:p>
      <w:pPr>
        <w:pBdr>
          <w:left w:val="single" w:color="0F4640" w:sz="22" w:space="14"/>
        </w:pBdr>
        <w:shd w:fill="F4EEE3" w:color="auto" w:val="clear"/>
        <w:spacing w:after="30" w:before="80" w:line="300" w:lineRule="auto"/>
        <w:ind w:left="360" w:right="300"/>
      </w:pPr>
      <w:r>
        <w:rPr>
          <w:rFonts w:ascii="Georgia" w:cs="Georgia" w:eastAsia="Georgia" w:hAnsi="Georgia"/>
          <w:i/>
          <w:iCs/>
          <w:color w:val="2B2622"/>
          <w:sz w:val="27"/>
          <w:szCs w:val="27"/>
        </w:rPr>
        <w:t xml:space="preserve">I have done all of it, and here is the one thing it taught me.</w:t>
      </w:r>
    </w:p>
    <w:p>
      <w:pPr>
        <w:spacing w:after="200" w:before="0"/>
        <w:ind w:left="360"/>
      </w:pPr>
      <w:r>
        <w:rPr>
          <w:rFonts w:ascii="Georgia" w:cs="Georgia" w:eastAsia="Georgia" w:hAnsi="Georgia"/>
          <w:color w:val="877B6C"/>
          <w:sz w:val="19"/>
          <w:szCs w:val="19"/>
        </w:rPr>
        <w:t xml:space="preserve">The sentence that makes her undeniable</w:t>
      </w:r>
    </w:p>
    <w:p>
      <w:r>
        <w:br w:type="page"/>
      </w:r>
    </w:p>
    <w:p>
      <w:pPr>
        <w:spacing w:after="70" w:before="0"/>
      </w:pPr>
      <w:r>
        <w:rPr>
          <w:rFonts w:ascii="Georgia" w:cs="Georgia" w:eastAsia="Georgia" w:hAnsi="Georgia"/>
          <w:b/>
          <w:bCs/>
          <w:color w:val="A65A22"/>
          <w:spacing w:val="64"/>
          <w:sz w:val="18"/>
          <w:szCs w:val="18"/>
        </w:rPr>
        <w:t xml:space="preserve">THE SYNTHESIS</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How the Message and the Plan Move as One</w:t>
      </w:r>
    </w:p>
    <w:p>
      <w:pPr>
        <w:spacing w:after="170" w:before="0" w:line="312" w:lineRule="auto"/>
      </w:pPr>
      <w:r>
        <w:rPr>
          <w:rFonts w:ascii="Georgia" w:cs="Georgia" w:eastAsia="Georgia" w:hAnsi="Georgia"/>
          <w:color w:val="2B2622"/>
          <w:sz w:val="23"/>
          <w:szCs w:val="23"/>
        </w:rPr>
        <w:t xml:space="preserve">Four parts, one motion. Each answers a different question, and together they are the whole engine:</w:t>
      </w:r>
    </w:p>
    <w:p>
      <w:pPr>
        <w:spacing w:after="130" w:before="0" w:line="300" w:lineRule="auto"/>
      </w:pPr>
      <w:r>
        <w:rPr>
          <w:rFonts w:ascii="Georgia" w:cs="Georgia" w:eastAsia="Georgia" w:hAnsi="Georgia"/>
          <w:b/>
          <w:bCs/>
          <w:color w:val="0F4640"/>
          <w:sz w:val="24"/>
          <w:szCs w:val="24"/>
        </w:rPr>
        <w:t xml:space="preserve">The message  </w:t>
      </w:r>
      <w:r>
        <w:rPr>
          <w:rFonts w:ascii="Georgia" w:cs="Georgia" w:eastAsia="Georgia" w:hAnsi="Georgia"/>
          <w:color w:val="2B2622"/>
          <w:sz w:val="24"/>
          <w:szCs w:val="24"/>
        </w:rPr>
        <w:t xml:space="preserve">decides what she says. The one thing, and the language she owns.</w:t>
      </w:r>
    </w:p>
    <w:p>
      <w:pPr>
        <w:spacing w:after="130" w:before="0" w:line="300" w:lineRule="auto"/>
      </w:pPr>
      <w:r>
        <w:rPr>
          <w:rFonts w:ascii="Georgia" w:cs="Georgia" w:eastAsia="Georgia" w:hAnsi="Georgia"/>
          <w:b/>
          <w:bCs/>
          <w:color w:val="0F4640"/>
          <w:sz w:val="24"/>
          <w:szCs w:val="24"/>
        </w:rPr>
        <w:t xml:space="preserve">The platform  </w:t>
      </w:r>
      <w:r>
        <w:rPr>
          <w:rFonts w:ascii="Georgia" w:cs="Georgia" w:eastAsia="Georgia" w:hAnsi="Georgia"/>
          <w:color w:val="2B2622"/>
          <w:sz w:val="24"/>
          <w:szCs w:val="24"/>
        </w:rPr>
        <w:t xml:space="preserve">decides where she is seen saying it. Speaking, a few articles, a living presence.</w:t>
      </w:r>
    </w:p>
    <w:p>
      <w:pPr>
        <w:spacing w:after="130" w:before="0" w:line="300" w:lineRule="auto"/>
      </w:pPr>
      <w:r>
        <w:rPr>
          <w:rFonts w:ascii="Georgia" w:cs="Georgia" w:eastAsia="Georgia" w:hAnsi="Georgia"/>
          <w:b/>
          <w:bCs/>
          <w:color w:val="0F4640"/>
          <w:sz w:val="24"/>
          <w:szCs w:val="24"/>
        </w:rPr>
        <w:t xml:space="preserve">The model  </w:t>
      </w:r>
      <w:r>
        <w:rPr>
          <w:rFonts w:ascii="Georgia" w:cs="Georgia" w:eastAsia="Georgia" w:hAnsi="Georgia"/>
          <w:color w:val="2B2622"/>
          <w:sz w:val="24"/>
          <w:szCs w:val="24"/>
        </w:rPr>
        <w:t xml:space="preserve">is the engine that makes it more than noise. The Threshold turns visibility into authority.</w:t>
      </w:r>
    </w:p>
    <w:p>
      <w:pPr>
        <w:spacing w:after="130" w:before="0" w:line="300" w:lineRule="auto"/>
      </w:pPr>
      <w:r>
        <w:rPr>
          <w:rFonts w:ascii="Georgia" w:cs="Georgia" w:eastAsia="Georgia" w:hAnsi="Georgia"/>
          <w:b/>
          <w:bCs/>
          <w:color w:val="0F4640"/>
          <w:sz w:val="24"/>
          <w:szCs w:val="24"/>
        </w:rPr>
        <w:t xml:space="preserve">The rooms  </w:t>
      </w:r>
      <w:r>
        <w:rPr>
          <w:rFonts w:ascii="Georgia" w:cs="Georgia" w:eastAsia="Georgia" w:hAnsi="Georgia"/>
          <w:color w:val="2B2622"/>
          <w:sz w:val="24"/>
          <w:szCs w:val="24"/>
        </w:rPr>
        <w:t xml:space="preserve">are where it lands. Boards, advisory, and the reform work itself.</w:t>
      </w:r>
    </w:p>
    <w:p>
      <w:pPr>
        <w:spacing w:after="60"/>
      </w:pPr>
    </w:p>
    <w:p>
      <w:pPr>
        <w:pBdr>
          <w:top w:val="single" w:color="A65A22" w:sz="4" w:space="10"/>
          <w:bottom w:val="single" w:color="A65A22" w:sz="4" w:space="10"/>
        </w:pBdr>
        <w:spacing w:after="220" w:before="200"/>
        <w:jc w:val="center"/>
      </w:pPr>
      <w:r>
        <w:rPr>
          <w:rFonts w:ascii="Georgia" w:cs="Georgia" w:eastAsia="Georgia" w:hAnsi="Georgia"/>
          <w:b/>
          <w:bCs/>
          <w:i/>
          <w:iCs/>
          <w:color w:val="0F4640"/>
          <w:sz w:val="32"/>
          <w:szCs w:val="32"/>
        </w:rPr>
        <w:t xml:space="preserve">Witness first. Then strategise. The message is the truth, the plan is the route, the rooms are the point.</w:t>
      </w:r>
    </w:p>
    <w:p>
      <w:r>
        <w:br w:type="page"/>
      </w:r>
    </w:p>
    <w:p>
      <w:pPr>
        <w:spacing w:after="70" w:before="0"/>
      </w:pPr>
      <w:r>
        <w:rPr>
          <w:rFonts w:ascii="Georgia" w:cs="Georgia" w:eastAsia="Georgia" w:hAnsi="Georgia"/>
          <w:b/>
          <w:bCs/>
          <w:color w:val="A65A22"/>
          <w:spacing w:val="64"/>
          <w:sz w:val="18"/>
          <w:szCs w:val="18"/>
        </w:rPr>
        <w:t xml:space="preserve">THE SEED TRAY</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Potentials</w:t>
      </w:r>
    </w:p>
    <w:p>
      <w:pPr>
        <w:spacing w:after="170" w:before="0" w:line="312" w:lineRule="auto"/>
      </w:pPr>
      <w:r>
        <w:rPr>
          <w:rFonts w:ascii="Georgia" w:cs="Georgia" w:eastAsia="Georgia" w:hAnsi="Georgia"/>
          <w:color w:val="2B2622"/>
          <w:sz w:val="23"/>
          <w:szCs w:val="23"/>
        </w:rPr>
        <w:t xml:space="preserve">Things we named along the way that could grow from this foundation. Seeds, not a roadmap. They are logged here so they are not lost, to be picked up only when the season is right. Nothing on this list is owed.</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Naming Both, published.</w:t>
      </w:r>
      <w:r>
        <w:rPr>
          <w:rFonts w:ascii="Georgia" w:cs="Georgia" w:eastAsia="Georgia" w:hAnsi="Georgia"/>
          <w:color w:val="2B2622"/>
          <w:sz w:val="23"/>
          <w:szCs w:val="23"/>
        </w:rPr>
        <w:t xml:space="preserve"> The human-first diagnostic at the very front of the model, if it lands for her.</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Threshold, Phases 2 to 4.</w:t>
      </w:r>
      <w:r>
        <w:rPr>
          <w:rFonts w:ascii="Georgia" w:cs="Georgia" w:eastAsia="Georgia" w:hAnsi="Georgia"/>
          <w:color w:val="2B2622"/>
          <w:sz w:val="23"/>
          <w:szCs w:val="23"/>
        </w:rPr>
        <w:t xml:space="preserve"> The diagnostic instrument, the intervention library, the visual canon, and the trademark.</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international board campaign.</w:t>
      </w:r>
      <w:r>
        <w:rPr>
          <w:rFonts w:ascii="Georgia" w:cs="Georgia" w:eastAsia="Georgia" w:hAnsi="Georgia"/>
          <w:color w:val="2B2622"/>
          <w:sz w:val="23"/>
          <w:szCs w:val="23"/>
        </w:rPr>
        <w:t xml:space="preserve"> A focused run at global seats once the platform is established.</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signature keynote.</w:t>
      </w:r>
      <w:r>
        <w:rPr>
          <w:rFonts w:ascii="Georgia" w:cs="Georgia" w:eastAsia="Georgia" w:hAnsi="Georgia"/>
          <w:color w:val="2B2622"/>
          <w:sz w:val="23"/>
          <w:szCs w:val="23"/>
        </w:rPr>
        <w:t xml:space="preserve"> One talk, refined and reused, that becomes the room she is invited into.</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model as a program.</w:t>
      </w:r>
      <w:r>
        <w:rPr>
          <w:rFonts w:ascii="Georgia" w:cs="Georgia" w:eastAsia="Georgia" w:hAnsi="Georgia"/>
          <w:color w:val="2B2622"/>
          <w:sz w:val="23"/>
          <w:szCs w:val="23"/>
        </w:rPr>
        <w:t xml:space="preserve"> Leadership teaching, or a small cohort, for the few who want to learn the method.</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The convening.</w:t>
      </w:r>
      <w:r>
        <w:rPr>
          <w:rFonts w:ascii="Georgia" w:cs="Georgia" w:eastAsia="Georgia" w:hAnsi="Georgia"/>
          <w:color w:val="2B2622"/>
          <w:sz w:val="23"/>
          <w:szCs w:val="23"/>
        </w:rPr>
        <w:t xml:space="preserve"> The industry gathering she has imagined, on connection, integrated systems and energy transition.</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A book.</w:t>
      </w:r>
      <w:r>
        <w:rPr>
          <w:rFonts w:ascii="Georgia" w:cs="Georgia" w:eastAsia="Georgia" w:hAnsi="Georgia"/>
          <w:color w:val="2B2622"/>
          <w:sz w:val="23"/>
          <w:szCs w:val="23"/>
        </w:rPr>
        <w:t xml:space="preserve"> The portfolio-as-evidence story, told long.</w:t>
      </w:r>
    </w:p>
    <w:p>
      <w:pPr>
        <w:pStyle w:val="ListParagraph"/>
        <w:numPr>
          <w:ilvl w:val="0"/>
          <w:numId w:val="2"/>
        </w:numPr>
        <w:spacing w:after="110" w:before="0" w:line="300" w:lineRule="auto"/>
      </w:pPr>
      <w:r>
        <w:rPr>
          <w:rFonts w:ascii="Georgia" w:cs="Georgia" w:eastAsia="Georgia" w:hAnsi="Georgia"/>
          <w:b/>
          <w:bCs/>
          <w:color w:val="9A4A2C"/>
          <w:sz w:val="23"/>
          <w:szCs w:val="23"/>
        </w:rPr>
        <w:t xml:space="preserve">WA+ in public.</w:t>
      </w:r>
      <w:r>
        <w:rPr>
          <w:rFonts w:ascii="Georgia" w:cs="Georgia" w:eastAsia="Georgia" w:hAnsi="Georgia"/>
          <w:color w:val="2B2622"/>
          <w:sz w:val="23"/>
          <w:szCs w:val="23"/>
        </w:rPr>
        <w:t xml:space="preserve"> Her own initiative, surfaced when it is ready to be seen.</w:t>
      </w:r>
    </w:p>
    <w:p>
      <w:r>
        <w:br w:type="page"/>
      </w:r>
    </w:p>
    <w:p>
      <w:pPr>
        <w:spacing w:after="70" w:before="0"/>
      </w:pPr>
      <w:r>
        <w:rPr>
          <w:rFonts w:ascii="Georgia" w:cs="Georgia" w:eastAsia="Georgia" w:hAnsi="Georgia"/>
          <w:b/>
          <w:bCs/>
          <w:color w:val="0F4640"/>
          <w:spacing w:val="64"/>
          <w:sz w:val="18"/>
          <w:szCs w:val="18"/>
        </w:rPr>
        <w:t xml:space="preserve">TO CLOSE</w:t>
      </w:r>
    </w:p>
    <w:p>
      <w:pPr>
        <w:keepNext/>
        <w:pBdr>
          <w:bottom w:val="single" w:color="A65A22" w:sz="6" w:space="6"/>
        </w:pBdr>
        <w:spacing w:after="150" w:before="380"/>
      </w:pPr>
      <w:r>
        <w:rPr>
          <w:rFonts w:ascii="Georgia" w:cs="Georgia" w:eastAsia="Georgia" w:hAnsi="Georgia"/>
          <w:b/>
          <w:bCs/>
          <w:color w:val="0F4640"/>
          <w:spacing w:val="6"/>
          <w:sz w:val="30"/>
          <w:szCs w:val="30"/>
        </w:rPr>
        <w:t xml:space="preserve">The Thread</w:t>
      </w:r>
    </w:p>
    <w:p>
      <w:pPr>
        <w:spacing w:after="180" w:before="0" w:line="330" w:lineRule="auto"/>
      </w:pPr>
      <w:r>
        <w:rPr>
          <w:rFonts w:ascii="Georgia" w:cs="Georgia" w:eastAsia="Georgia" w:hAnsi="Georgia"/>
          <w:color w:val="2B2622"/>
          <w:sz w:val="25"/>
          <w:szCs w:val="25"/>
        </w:rPr>
        <w:t xml:space="preserve">She does not need to go looking for what she brings. She has known it for twenty years, in her body, in every room she refused to leave.</w:t>
      </w:r>
    </w:p>
    <w:p>
      <w:pPr>
        <w:spacing w:after="180" w:before="0" w:line="330" w:lineRule="auto"/>
      </w:pPr>
      <w:r>
        <w:rPr>
          <w:rFonts w:ascii="Georgia" w:cs="Georgia" w:eastAsia="Georgia" w:hAnsi="Georgia"/>
          <w:color w:val="2B2622"/>
          <w:sz w:val="25"/>
          <w:szCs w:val="25"/>
        </w:rPr>
        <w:t xml:space="preserve">Our only job was to say it plainly, place it where people can see it, and let the rooms come.</w:t>
      </w:r>
    </w:p>
    <w:p>
      <w:pPr>
        <w:spacing w:after="180" w:before="0" w:line="330" w:lineRule="auto"/>
      </w:pPr>
      <w:r>
        <w:rPr>
          <w:rFonts w:ascii="Georgia" w:cs="Georgia" w:eastAsia="Georgia" w:hAnsi="Georgia"/>
          <w:color w:val="2B2622"/>
          <w:sz w:val="25"/>
          <w:szCs w:val="25"/>
        </w:rPr>
        <w:t xml:space="preserve">It was always this.</w:t>
      </w:r>
    </w:p>
    <w:p>
      <w:pPr>
        <w:spacing w:after="80"/>
      </w:pPr>
    </w:p>
    <w:p>
      <w:pPr>
        <w:spacing w:before="120"/>
        <w:jc w:val="center"/>
      </w:pPr>
      <w:r>
        <w:rPr>
          <w:rFonts w:ascii="Georgia" w:cs="Georgia" w:eastAsia="Georgia" w:hAnsi="Georgia"/>
          <w:b/>
          <w:bCs/>
          <w:i/>
          <w:iCs/>
          <w:color w:val="0F4640"/>
          <w:spacing w:val="40"/>
          <w:sz w:val="30"/>
          <w:szCs w:val="30"/>
        </w:rPr>
        <w:t xml:space="preserve">The Threshold</w:t>
      </w:r>
    </w:p>
    <w:sectPr>
      <w:headerReference w:type="default" r:id="rId7"/>
      <w:headerReference w:type="first" r:id="rId8"/>
      <w:footerReference w:type="default" r:id="rId9"/>
      <w:pgSz w:w="12240" w:h="15840" w:orient="portrait"/>
      <w:pgMar w:top="1500" w:right="1640" w:bottom="1440" w:left="16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Georgia" w:cs="Georgia" w:eastAsia="Georgia" w:hAnsi="Georgia"/>
        <w:color w:val="877B6C"/>
        <w:spacing w:val="30"/>
        <w:sz w:val="16"/>
        <w:szCs w:val="16"/>
      </w:rPr>
      <w:t xml:space="preserve">The Legacy Impact Studio</w:t>
    </w:r>
    <w:r>
      <w:rPr>
        <w:rFonts w:ascii="Georgia" w:cs="Georgia" w:eastAsia="Georgia" w:hAnsi="Georgia"/>
      </w:rPr>
      <w:t xml:space="preserve">	</w:t>
    </w:r>
    <w:r>
      <w:rPr>
        <w:rFonts w:ascii="Georgia" w:cs="Georgia" w:eastAsia="Georgia" w:hAnsi="Georgia"/>
        <w:color w:val="877B6C"/>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CDBA" w:sz="3" w:space="6"/>
      </w:pBdr>
      <w:spacing w:after="0"/>
      <w:jc w:val="right"/>
    </w:pPr>
    <w:r>
      <w:rPr>
        <w:rFonts w:ascii="Georgia" w:cs="Georgia" w:eastAsia="Georgia" w:hAnsi="Georgia"/>
        <w:color w:val="877B6C"/>
        <w:spacing w:val="40"/>
        <w:sz w:val="15"/>
        <w:szCs w:val="15"/>
      </w:rPr>
      <w:t xml:space="preserve">NICOLE LOCKWOOD · THE THROUGHLINE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rFonts w:ascii="Georgia" w:cs="Georgia" w:eastAsia="Georgia" w:hAnsi="Georgia"/>
        <w:color w:val="A65A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2026-06-15T03:11:37.867Z</dcterms:created>
  <dcterms:modified xsi:type="dcterms:W3CDTF">2026-06-15T03:11:37.867Z</dcterms:modified>
</cp:coreProperties>
</file>

<file path=docProps/custom.xml><?xml version="1.0" encoding="utf-8"?>
<Properties xmlns="http://schemas.openxmlformats.org/officeDocument/2006/custom-properties" xmlns:vt="http://schemas.openxmlformats.org/officeDocument/2006/docPropsVTypes"/>
</file>